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21" w:rsidRPr="00DB4E21" w:rsidRDefault="00DB4E21" w:rsidP="00DB4E21">
      <w:pPr>
        <w:spacing w:line="600" w:lineRule="exact"/>
        <w:jc w:val="center"/>
        <w:rPr>
          <w:rFonts w:ascii="宋体" w:eastAsia="宋体" w:hAnsi="宋体" w:cs="Times New Roman"/>
          <w:color w:val="333333"/>
          <w:sz w:val="44"/>
          <w:szCs w:val="44"/>
        </w:rPr>
      </w:pPr>
      <w:r w:rsidRPr="00DB4E21">
        <w:rPr>
          <w:rFonts w:ascii="宋体" w:eastAsia="宋体" w:hAnsi="宋体" w:cs="Times New Roman" w:hint="eastAsia"/>
          <w:color w:val="333333"/>
          <w:sz w:val="44"/>
          <w:szCs w:val="44"/>
        </w:rPr>
        <w:t>哈尔滨理工大学</w:t>
      </w:r>
    </w:p>
    <w:p w:rsidR="00DB4E21" w:rsidRPr="00DB4E21" w:rsidRDefault="00DB4E21" w:rsidP="00DB4E21">
      <w:pPr>
        <w:spacing w:line="600" w:lineRule="exact"/>
        <w:jc w:val="center"/>
        <w:rPr>
          <w:rFonts w:ascii="宋体" w:eastAsia="宋体" w:hAnsi="宋体" w:cs="Times New Roman" w:hint="eastAsia"/>
          <w:color w:val="333333"/>
          <w:sz w:val="44"/>
          <w:szCs w:val="44"/>
        </w:rPr>
      </w:pPr>
      <w:r w:rsidRPr="00DB4E21">
        <w:rPr>
          <w:rFonts w:ascii="宋体" w:eastAsia="宋体" w:hAnsi="宋体" w:cs="Times New Roman" w:hint="eastAsia"/>
          <w:color w:val="333333"/>
          <w:sz w:val="44"/>
          <w:szCs w:val="44"/>
        </w:rPr>
        <w:t>“学习贯彻党的十九大精神”专项研究课题选题指南</w:t>
      </w:r>
    </w:p>
    <w:p w:rsidR="00DB4E21" w:rsidRPr="00DB4E21" w:rsidRDefault="00DB4E21" w:rsidP="00DB4E21">
      <w:pPr>
        <w:spacing w:line="600" w:lineRule="exact"/>
        <w:jc w:val="center"/>
        <w:rPr>
          <w:rFonts w:ascii="宋体" w:eastAsia="宋体" w:hAnsi="宋体" w:cs="Times New Roman" w:hint="eastAsia"/>
          <w:color w:val="333333"/>
          <w:sz w:val="32"/>
          <w:szCs w:val="32"/>
        </w:rPr>
      </w:pPr>
    </w:p>
    <w:p w:rsidR="00DB4E21" w:rsidRPr="00DB4E21" w:rsidRDefault="00DB4E21" w:rsidP="00DB4E21">
      <w:pPr>
        <w:widowControl/>
        <w:spacing w:line="520" w:lineRule="exact"/>
        <w:ind w:firstLineChars="200" w:firstLine="640"/>
        <w:rPr>
          <w:rFonts w:ascii="仿宋_GB2312" w:eastAsia="仿宋_GB2312" w:hAnsi="宋体" w:cs="宋体" w:hint="eastAsia"/>
          <w:color w:val="333333"/>
          <w:kern w:val="0"/>
          <w:sz w:val="32"/>
          <w:szCs w:val="32"/>
        </w:rPr>
      </w:pPr>
      <w:r w:rsidRPr="00DB4E21">
        <w:rPr>
          <w:rFonts w:ascii="仿宋_GB2312" w:eastAsia="仿宋_GB2312" w:hAnsi="宋体" w:cs="宋体" w:hint="eastAsia"/>
          <w:color w:val="333333"/>
          <w:kern w:val="0"/>
          <w:sz w:val="32"/>
          <w:szCs w:val="32"/>
        </w:rPr>
        <w:t>1.习近平新时代中国特色社会主义思想研究</w:t>
      </w:r>
    </w:p>
    <w:p w:rsidR="00DB4E21" w:rsidRPr="00DB4E21" w:rsidRDefault="00DB4E21" w:rsidP="00DB4E21">
      <w:pPr>
        <w:widowControl/>
        <w:spacing w:line="520" w:lineRule="exact"/>
        <w:ind w:firstLineChars="200" w:firstLine="640"/>
        <w:rPr>
          <w:rFonts w:ascii="仿宋_GB2312" w:eastAsia="仿宋_GB2312" w:hAnsi="宋体" w:cs="宋体" w:hint="eastAsia"/>
          <w:color w:val="333333"/>
          <w:kern w:val="0"/>
          <w:sz w:val="32"/>
          <w:szCs w:val="32"/>
        </w:rPr>
      </w:pPr>
      <w:r w:rsidRPr="00DB4E21">
        <w:rPr>
          <w:rFonts w:ascii="仿宋_GB2312" w:eastAsia="仿宋_GB2312" w:hAnsi="宋体" w:cs="宋体" w:hint="eastAsia"/>
          <w:color w:val="333333"/>
          <w:kern w:val="0"/>
          <w:sz w:val="32"/>
          <w:szCs w:val="32"/>
        </w:rPr>
        <w:t>2.习近平新时代中国特色社会主义思想对发展当代中国马克思主义的历史性贡献研究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宋体" w:hint="eastAsia"/>
          <w:color w:val="333333"/>
          <w:kern w:val="0"/>
          <w:sz w:val="32"/>
          <w:szCs w:val="32"/>
        </w:rPr>
        <w:t>3.</w:t>
      </w:r>
      <w:r w:rsidRPr="00DB4E21">
        <w:rPr>
          <w:rFonts w:ascii="仿宋_GB2312" w:eastAsia="仿宋_GB2312" w:hAnsi="宋体" w:cs="Times New Roman" w:hint="eastAsia"/>
          <w:color w:val="333333"/>
          <w:sz w:val="32"/>
          <w:szCs w:val="32"/>
        </w:rPr>
        <w:t xml:space="preserve"> 十九大精神传播创新研究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 新时代中华优秀传统文化传承研究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5. 新时代文化自信研究</w:t>
      </w:r>
    </w:p>
    <w:p w:rsidR="00DB4E21" w:rsidRPr="00DB4E21" w:rsidRDefault="00DB4E21" w:rsidP="00DB4E21">
      <w:pPr>
        <w:widowControl/>
        <w:spacing w:line="520" w:lineRule="exact"/>
        <w:ind w:firstLineChars="200" w:firstLine="640"/>
        <w:rPr>
          <w:rFonts w:ascii="仿宋_GB2312" w:eastAsia="仿宋_GB2312" w:hAnsi="宋体" w:cs="宋体" w:hint="eastAsia"/>
          <w:color w:val="333333"/>
          <w:kern w:val="0"/>
          <w:sz w:val="32"/>
          <w:szCs w:val="32"/>
        </w:rPr>
      </w:pPr>
      <w:r w:rsidRPr="00DB4E21">
        <w:rPr>
          <w:rFonts w:ascii="仿宋_GB2312" w:eastAsia="仿宋_GB2312" w:hAnsi="宋体" w:cs="Times New Roman" w:hint="eastAsia"/>
          <w:color w:val="333333"/>
          <w:sz w:val="32"/>
          <w:szCs w:val="32"/>
        </w:rPr>
        <w:t>6.</w:t>
      </w:r>
      <w:r w:rsidRPr="00DB4E21">
        <w:rPr>
          <w:rFonts w:ascii="仿宋_GB2312" w:eastAsia="仿宋_GB2312" w:hAnsi="宋体" w:cs="宋体" w:hint="eastAsia"/>
          <w:color w:val="333333"/>
          <w:kern w:val="0"/>
          <w:sz w:val="32"/>
          <w:szCs w:val="32"/>
        </w:rPr>
        <w:t xml:space="preserve"> 加强思想道德建设引领满足人民美好生活需要研究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7. 深入把握“历史交汇期”科学内涵及重要意义研究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8. 以人民为中心的发展思想研究</w:t>
      </w:r>
    </w:p>
    <w:p w:rsidR="00DB4E21" w:rsidRPr="00DB4E21" w:rsidRDefault="00DB4E21" w:rsidP="00DB4E21">
      <w:pPr>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9. “四个伟大”与新时代党的历史使命研究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10. 政治安全视角的网络意识形态建设主导权问题研究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11. 以人们为中心视角的网络社会治理研究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12. 坚持和平发展道路构建新时代大国外交格局研究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13.</w:t>
      </w:r>
      <w:r w:rsidRPr="00DB4E21">
        <w:rPr>
          <w:rFonts w:ascii="仿宋_GB2312" w:eastAsia="仿宋_GB2312" w:hAnsi="宋体" w:cs="宋体" w:hint="eastAsia"/>
          <w:color w:val="333333"/>
          <w:kern w:val="0"/>
          <w:sz w:val="32"/>
          <w:szCs w:val="32"/>
        </w:rPr>
        <w:t xml:space="preserve"> 新时代坚持和发展中国特色社会主义的基本方略研究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14. 十九大精神融入思想政治理论课研究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15. 着力解决不平衡不充分发展问题研究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16.</w:t>
      </w:r>
      <w:r w:rsidRPr="00DB4E21">
        <w:rPr>
          <w:rFonts w:ascii="仿宋_GB2312" w:eastAsia="仿宋_GB2312" w:hAnsi="宋体" w:cs="Times New Roman" w:hint="eastAsia"/>
          <w:color w:val="333333"/>
          <w:spacing w:val="-6"/>
          <w:sz w:val="32"/>
          <w:szCs w:val="32"/>
        </w:rPr>
        <w:t xml:space="preserve"> 完善公共文化服务体系与深入实施文化惠民工程研究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17. 新时代中国特色社会主义民生体系构建研究</w:t>
      </w:r>
    </w:p>
    <w:p w:rsidR="00DB4E21" w:rsidRPr="00DB4E21" w:rsidRDefault="00DB4E21" w:rsidP="00DB4E21">
      <w:pPr>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18.</w:t>
      </w:r>
      <w:r w:rsidRPr="00DB4E21">
        <w:rPr>
          <w:rFonts w:ascii="仿宋_GB2312" w:eastAsia="仿宋_GB2312" w:hAnsi="宋体" w:cs="宋体" w:hint="eastAsia"/>
          <w:color w:val="333333"/>
          <w:kern w:val="0"/>
          <w:sz w:val="32"/>
          <w:szCs w:val="32"/>
        </w:rPr>
        <w:t xml:space="preserve"> 加强和创新社会治理构建共建共治共享社会治理</w:t>
      </w:r>
      <w:r w:rsidRPr="00DB4E21">
        <w:rPr>
          <w:rFonts w:ascii="仿宋_GB2312" w:eastAsia="仿宋_GB2312" w:hAnsi="宋体" w:cs="宋体" w:hint="eastAsia"/>
          <w:color w:val="333333"/>
          <w:kern w:val="0"/>
          <w:sz w:val="32"/>
          <w:szCs w:val="32"/>
        </w:rPr>
        <w:lastRenderedPageBreak/>
        <w:t>新格局研究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19.</w:t>
      </w:r>
      <w:r w:rsidRPr="00DB4E21">
        <w:rPr>
          <w:rFonts w:ascii="仿宋_GB2312" w:eastAsia="仿宋_GB2312" w:hAnsi="宋体" w:cs="宋体" w:hint="eastAsia"/>
          <w:color w:val="333333"/>
          <w:kern w:val="0"/>
          <w:sz w:val="32"/>
          <w:szCs w:val="32"/>
        </w:rPr>
        <w:t xml:space="preserve"> 黑龙江实施乡村振兴战略研究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20. 中国特色社会主义进入新时代的重大意义和基本内涵研究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21. 坚持和加强党的全面领导研究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22. 贯彻新发展理念、建设现代化经济体系研究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23. 深化供给侧结构性改革研究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24. 区域协调发展战略研究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25. 推进我国社会主义民主政治制度化、规范化、法治化、程序化研究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26. 建设具有强大凝聚力和</w:t>
      </w:r>
      <w:proofErr w:type="gramStart"/>
      <w:r w:rsidRPr="00DB4E21">
        <w:rPr>
          <w:rFonts w:ascii="仿宋_GB2312" w:eastAsia="仿宋_GB2312" w:hAnsi="宋体" w:cs="Times New Roman" w:hint="eastAsia"/>
          <w:color w:val="333333"/>
          <w:sz w:val="32"/>
          <w:szCs w:val="32"/>
        </w:rPr>
        <w:t>引领力</w:t>
      </w:r>
      <w:proofErr w:type="gramEnd"/>
      <w:r w:rsidRPr="00DB4E21">
        <w:rPr>
          <w:rFonts w:ascii="仿宋_GB2312" w:eastAsia="仿宋_GB2312" w:hAnsi="宋体" w:cs="Times New Roman" w:hint="eastAsia"/>
          <w:color w:val="333333"/>
          <w:sz w:val="32"/>
          <w:szCs w:val="32"/>
        </w:rPr>
        <w:t>的社会主义意识形态研究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27. 加快生态文明体制改革、建设美丽中国研究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28. 构建人类命运共同体理论与实践研究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29. 以党的政治建设为统领，全面推进党的政治、思想、组织、作风、纪律建设研究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30. 健全党和国家监督体系研究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31. 推进诚信建设制度化研究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32. 激发和保护企业家精神研究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33. 推进反腐败国家立法研究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34. 着力解决一些基层党组织弱化、虚化、边缘化问题调查研究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35. 坚定不移全面从严治党、不断提高党的执政能力和领导能力研究</w:t>
      </w:r>
    </w:p>
    <w:p w:rsidR="00DB4E21" w:rsidRPr="00DB4E21" w:rsidRDefault="00DB4E21" w:rsidP="00DB4E21">
      <w:pPr>
        <w:widowControl/>
        <w:spacing w:line="520" w:lineRule="exact"/>
        <w:ind w:firstLineChars="200" w:firstLine="640"/>
        <w:rPr>
          <w:rFonts w:ascii="仿宋_GB2312" w:eastAsia="仿宋_GB2312" w:hAnsi="宋体" w:cs="宋体" w:hint="eastAsia"/>
          <w:color w:val="333333"/>
          <w:kern w:val="0"/>
          <w:sz w:val="32"/>
          <w:szCs w:val="32"/>
        </w:rPr>
      </w:pPr>
      <w:r w:rsidRPr="00DB4E21">
        <w:rPr>
          <w:rFonts w:ascii="仿宋_GB2312" w:eastAsia="仿宋_GB2312" w:hAnsi="宋体" w:cs="Times New Roman" w:hint="eastAsia"/>
          <w:color w:val="333333"/>
          <w:sz w:val="32"/>
          <w:szCs w:val="32"/>
        </w:rPr>
        <w:t>36.</w:t>
      </w:r>
      <w:r w:rsidRPr="00DB4E21">
        <w:rPr>
          <w:rFonts w:ascii="仿宋_GB2312" w:eastAsia="仿宋_GB2312" w:hAnsi="宋体" w:cs="宋体" w:hint="eastAsia"/>
          <w:color w:val="333333"/>
          <w:kern w:val="0"/>
          <w:sz w:val="32"/>
          <w:szCs w:val="32"/>
        </w:rPr>
        <w:t xml:space="preserve"> 习近平新时代中国特色社会主义法治思想研究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lastRenderedPageBreak/>
        <w:t>37.</w:t>
      </w:r>
      <w:r w:rsidRPr="00DB4E21">
        <w:rPr>
          <w:rFonts w:ascii="仿宋_GB2312" w:eastAsia="仿宋_GB2312" w:hAnsi="宋体" w:cs="Times New Roman" w:hint="eastAsia"/>
          <w:color w:val="333333"/>
          <w:spacing w:val="-6"/>
          <w:sz w:val="32"/>
          <w:szCs w:val="32"/>
        </w:rPr>
        <w:t xml:space="preserve"> 新时代中国经济绿色发展的理论内涵与制度创新研究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38.新时代高校思想政治工作方法创新研究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39.</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中国特色社会主义进入新时代基本依据研究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40. 我国社会主要矛盾转化的理论价值和实践意义研究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41.</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全面建成小康社会背景下高校体育教育发展趋势与</w:t>
      </w:r>
      <w:bookmarkStart w:id="0" w:name="_GoBack"/>
      <w:bookmarkEnd w:id="0"/>
      <w:r w:rsidRPr="00DB4E21">
        <w:rPr>
          <w:rFonts w:ascii="仿宋_GB2312" w:eastAsia="仿宋_GB2312" w:hAnsi="宋体" w:cs="Times New Roman" w:hint="eastAsia"/>
          <w:color w:val="333333"/>
          <w:sz w:val="32"/>
          <w:szCs w:val="32"/>
        </w:rPr>
        <w:t>对策研究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42. 新时代高校思想政治工作方法创新研究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43.</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文化自信与中国传统文化的关系研究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44.</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青年大学生成为实现中国梦生力军的路径探析</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45.</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大学生社会主义核心价值观培育机制建设探析</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46.</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习近平新时代人民主体思想研究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47.</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新时代视域下理想信念教育的着力点研究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48.</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基于社会主要矛盾转化视域下的生态文明建设研究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49.</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法治国家目标下的依规治党研究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r w:rsidRPr="00DB4E21">
        <w:rPr>
          <w:rFonts w:ascii="仿宋_GB2312" w:eastAsia="仿宋_GB2312" w:hAnsi="宋体" w:cs="Times New Roman" w:hint="eastAsia"/>
          <w:color w:val="333333"/>
          <w:sz w:val="32"/>
          <w:szCs w:val="32"/>
        </w:rPr>
        <w:t>50.</w:t>
      </w:r>
      <w:r w:rsidRPr="00DB4E21">
        <w:rPr>
          <w:rFonts w:ascii="Times New Roman" w:eastAsia="宋体" w:hAnsi="Times New Roman" w:cs="Times New Roman"/>
          <w:sz w:val="24"/>
          <w:szCs w:val="24"/>
        </w:rPr>
        <w:t xml:space="preserve"> </w:t>
      </w:r>
      <w:r w:rsidRPr="00DB4E21">
        <w:rPr>
          <w:rFonts w:ascii="仿宋_GB2312" w:eastAsia="仿宋_GB2312" w:hAnsi="宋体" w:cs="Times New Roman" w:hint="eastAsia"/>
          <w:color w:val="333333"/>
          <w:sz w:val="32"/>
          <w:szCs w:val="32"/>
        </w:rPr>
        <w:t>历史思维与促进四个自信研究</w:t>
      </w:r>
    </w:p>
    <w:p w:rsidR="00DB4E21" w:rsidRPr="00DB4E21" w:rsidRDefault="00DB4E21" w:rsidP="00DB4E21">
      <w:pPr>
        <w:widowControl/>
        <w:spacing w:line="520" w:lineRule="exact"/>
        <w:ind w:firstLineChars="200" w:firstLine="640"/>
        <w:rPr>
          <w:rFonts w:ascii="仿宋_GB2312" w:eastAsia="仿宋_GB2312" w:hAnsi="宋体" w:cs="Times New Roman" w:hint="eastAsia"/>
          <w:color w:val="333333"/>
          <w:sz w:val="32"/>
          <w:szCs w:val="32"/>
        </w:rPr>
      </w:pPr>
    </w:p>
    <w:p w:rsidR="0095480B" w:rsidRDefault="0095480B">
      <w:pPr>
        <w:rPr>
          <w:rFonts w:hint="eastAsia"/>
        </w:rPr>
      </w:pPr>
    </w:p>
    <w:sectPr w:rsidR="00954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92"/>
    <w:rsid w:val="0095480B"/>
    <w:rsid w:val="00DB4E21"/>
    <w:rsid w:val="00DF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1035</Characters>
  <Application>Microsoft Office Word</Application>
  <DocSecurity>0</DocSecurity>
  <Lines>8</Lines>
  <Paragraphs>2</Paragraphs>
  <ScaleCrop>false</ScaleCrop>
  <Company>china</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2017-12-04T06:45:00Z</dcterms:created>
  <dcterms:modified xsi:type="dcterms:W3CDTF">2017-12-04T06:45:00Z</dcterms:modified>
</cp:coreProperties>
</file>